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FBF" w:rsidRPr="00486FBF" w:rsidRDefault="00486FBF" w:rsidP="00486FBF">
      <w:pPr>
        <w:shd w:val="clear" w:color="auto" w:fill="F4F4F4"/>
        <w:spacing w:after="189"/>
        <w:jc w:val="center"/>
        <w:outlineLvl w:val="0"/>
        <w:rPr>
          <w:rFonts w:ascii="Arial" w:hAnsi="Arial" w:cs="Arial"/>
          <w:b/>
          <w:bCs/>
          <w:color w:val="004B8D"/>
          <w:kern w:val="36"/>
          <w:sz w:val="28"/>
          <w:szCs w:val="28"/>
        </w:rPr>
      </w:pPr>
      <w:r w:rsidRPr="00486FBF">
        <w:rPr>
          <w:rFonts w:ascii="Arial" w:hAnsi="Arial" w:cs="Arial"/>
          <w:b/>
          <w:bCs/>
          <w:color w:val="004B8D"/>
          <w:kern w:val="36"/>
          <w:sz w:val="28"/>
          <w:szCs w:val="28"/>
        </w:rPr>
        <w:t>Nová p</w:t>
      </w:r>
      <w:bookmarkStart w:id="0" w:name="_GoBack"/>
      <w:bookmarkEnd w:id="0"/>
      <w:r w:rsidRPr="00486FBF">
        <w:rPr>
          <w:rFonts w:ascii="Arial" w:hAnsi="Arial" w:cs="Arial"/>
          <w:b/>
          <w:bCs/>
          <w:color w:val="004B8D"/>
          <w:kern w:val="36"/>
          <w:sz w:val="28"/>
          <w:szCs w:val="28"/>
        </w:rPr>
        <w:t>rávomoc posudkových lekárov Sociálnej poisťovne pri ukončovaní PN</w:t>
      </w:r>
    </w:p>
    <w:p w:rsidR="00486FBF" w:rsidRPr="00486FBF" w:rsidRDefault="00486FBF" w:rsidP="00486FBF">
      <w:pPr>
        <w:spacing w:after="300"/>
        <w:rPr>
          <w:rFonts w:ascii="Arial" w:hAnsi="Arial" w:cs="Arial"/>
          <w:color w:val="0B0C0C"/>
          <w:szCs w:val="24"/>
        </w:rPr>
      </w:pPr>
      <w:r w:rsidRPr="00486FBF">
        <w:rPr>
          <w:rFonts w:ascii="Arial" w:hAnsi="Arial" w:cs="Arial"/>
          <w:b/>
          <w:bCs/>
          <w:color w:val="0B0C0C"/>
          <w:szCs w:val="24"/>
        </w:rPr>
        <w:t>Okrem zákonom oprávnených lekárov, ktorí ukončujú dočasnú pracovnú neschopnosť, od 1. januára 2025 týmto oprávnením disponujú aj posudkoví lekári vykonávajúci lekársku posudkovú činnosť v Sociálnej poisťovni. Vyplýva to zo zákona č. 360/2024 Z. z., ktorým sa okrem iných zákonov mení a dopĺňa aj zákon o zdravotnej starostlivosti. Nové ustanovenie zákona nadobudlo účinnosť od 1. januára 2025.</w:t>
      </w:r>
    </w:p>
    <w:p w:rsidR="00486FBF" w:rsidRPr="00486FBF" w:rsidRDefault="00486FBF" w:rsidP="00486FBF">
      <w:pPr>
        <w:spacing w:after="300"/>
        <w:rPr>
          <w:rFonts w:ascii="Arial" w:hAnsi="Arial" w:cs="Arial"/>
          <w:color w:val="0B0C0C"/>
          <w:szCs w:val="24"/>
        </w:rPr>
      </w:pPr>
      <w:r w:rsidRPr="00486FBF">
        <w:rPr>
          <w:rFonts w:ascii="Arial" w:hAnsi="Arial" w:cs="Arial"/>
          <w:color w:val="0B0C0C"/>
          <w:szCs w:val="24"/>
        </w:rPr>
        <w:t>Podľa novej právnej úpravy </w:t>
      </w:r>
      <w:r w:rsidRPr="00486FBF">
        <w:rPr>
          <w:rFonts w:ascii="Arial" w:hAnsi="Arial" w:cs="Arial"/>
          <w:b/>
          <w:bCs/>
          <w:color w:val="0B0C0C"/>
          <w:szCs w:val="24"/>
        </w:rPr>
        <w:t>v prípadoch hodných osobitného zreteľa môže posudkový lekár vykonávajúci lekársku posudkovú činnosť ukončiť dočasnú pracovnú neschopnosť.</w:t>
      </w:r>
      <w:r w:rsidRPr="00486FBF">
        <w:rPr>
          <w:rFonts w:ascii="Arial" w:hAnsi="Arial" w:cs="Arial"/>
          <w:color w:val="0B0C0C"/>
          <w:szCs w:val="24"/>
        </w:rPr>
        <w:t> V takom prípade ošetrujúci lekár na písomnú žiadosť posudkového lekára vytvorí elektronický záznam o ukončení dočasnej pracovnej neschopnosti.</w:t>
      </w:r>
    </w:p>
    <w:p w:rsidR="00486FBF" w:rsidRPr="00486FBF" w:rsidRDefault="00486FBF" w:rsidP="00486FBF">
      <w:pPr>
        <w:spacing w:after="300"/>
        <w:rPr>
          <w:rFonts w:ascii="Arial" w:hAnsi="Arial" w:cs="Arial"/>
          <w:color w:val="0B0C0C"/>
          <w:szCs w:val="24"/>
        </w:rPr>
      </w:pPr>
      <w:r w:rsidRPr="00486FBF">
        <w:rPr>
          <w:rFonts w:ascii="Arial" w:hAnsi="Arial" w:cs="Arial"/>
          <w:color w:val="0B0C0C"/>
          <w:szCs w:val="24"/>
        </w:rPr>
        <w:t>Na potrebu uvedenej legislatívnej zmeny Sociálna poisťovňa dlhodobo upozorňovala. Posudkoví lekári Sociálnej poisťovne vykonávajúci kontrolu dočasnej pracovnej neschopnosti doteraz nemali žiadne oprávnenie priamo zasiahnuť do priebehu práceneschopnosti, čím bol efekt kontrolnej činnosti značne obmedzený.</w:t>
      </w:r>
    </w:p>
    <w:p w:rsidR="00486FBF" w:rsidRPr="00486FBF" w:rsidRDefault="00486FBF" w:rsidP="00486FBF">
      <w:pPr>
        <w:spacing w:after="300"/>
        <w:rPr>
          <w:rFonts w:ascii="Arial" w:hAnsi="Arial" w:cs="Arial"/>
          <w:color w:val="0B0C0C"/>
          <w:szCs w:val="24"/>
        </w:rPr>
      </w:pPr>
      <w:r w:rsidRPr="00486FBF">
        <w:rPr>
          <w:rFonts w:ascii="Arial" w:hAnsi="Arial" w:cs="Arial"/>
          <w:color w:val="0B0C0C"/>
          <w:szCs w:val="24"/>
        </w:rPr>
        <w:t>Keďže posudkový lekár nie je v zmysle zákona osobou oprávnenou zaznamenávať údaje do elektronickej zdravotnej knižky občana, nemôže vykonať elektronický záznam o ukončení dočasnej pracovnej neschopnosti. Preto nová úprava ustanovuje, že v prípade, ak posudkový lekár práceneschopnosť ukončí, elektronický záznam o ukončení dočasnej pracovnej neschopnosti vytvorí ošetrujúci lekár na písomnú žiadosť posudkového lekára. Tým nie je dotknutá skutočnosť, že o ukončení rozhodol posudkový lekár.</w:t>
      </w:r>
    </w:p>
    <w:p w:rsidR="00486FBF" w:rsidRPr="00486FBF" w:rsidRDefault="00486FBF" w:rsidP="00486FBF">
      <w:pPr>
        <w:spacing w:after="300"/>
        <w:rPr>
          <w:rFonts w:ascii="Arial" w:hAnsi="Arial" w:cs="Arial"/>
          <w:color w:val="0B0C0C"/>
          <w:szCs w:val="24"/>
        </w:rPr>
      </w:pPr>
      <w:r w:rsidRPr="00486FBF">
        <w:rPr>
          <w:rFonts w:ascii="Arial" w:hAnsi="Arial" w:cs="Arial"/>
          <w:color w:val="0B0C0C"/>
          <w:szCs w:val="24"/>
        </w:rPr>
        <w:t>Táto zmena bola zavedená ako ochranný nástroj na zabezpečenie správnosti a oprávnenosti dočasnej pracovnej neschopnosti. Cieľom je zabrániť zneužívaniu dočasnej pracovnej neschopnosti a zabezpečiť, že pracovná neschopnosť bude uznávaná iba v prípadoch, kde je to skutočne potrebné z medicínskeho hľadiska. Zavedenie tohto ustanovenia do zákona prináša niekoľko praktických výhod. Zabezpečuje spravodlivosť a integritu systému dočasnej pracovnej neschopnosti, chráni verejné zdroje a zvyšuje dôveru v zdravotnícky systém. Odborný dohľad posudkových lekárov poskytuje garanciu, že dočasná pracovná neschopnosť bude uznávaná a ukončovaná na základe objektívnych a odborných kritérií, čo prispieva k celkovej efektivite a spravodlivosti systému.</w:t>
      </w:r>
    </w:p>
    <w:p w:rsidR="00486FBF" w:rsidRPr="00486FBF" w:rsidRDefault="00486FBF" w:rsidP="00486FBF">
      <w:pPr>
        <w:spacing w:after="300"/>
        <w:rPr>
          <w:rFonts w:ascii="Arial" w:hAnsi="Arial" w:cs="Arial"/>
          <w:color w:val="0B0C0C"/>
          <w:szCs w:val="24"/>
        </w:rPr>
      </w:pPr>
      <w:r w:rsidRPr="00486FBF">
        <w:rPr>
          <w:rFonts w:ascii="Arial" w:hAnsi="Arial" w:cs="Arial"/>
          <w:color w:val="0B0C0C"/>
          <w:szCs w:val="24"/>
        </w:rPr>
        <w:t> </w:t>
      </w:r>
    </w:p>
    <w:p w:rsidR="000B29EE" w:rsidRDefault="00486FBF"/>
    <w:sectPr w:rsidR="000B29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FBF"/>
    <w:rsid w:val="000D24B5"/>
    <w:rsid w:val="00486FBF"/>
    <w:rsid w:val="00497047"/>
    <w:rsid w:val="00802E68"/>
    <w:rsid w:val="00AF79E4"/>
    <w:rsid w:val="00B623D5"/>
    <w:rsid w:val="00D63F8C"/>
    <w:rsid w:val="00E7640F"/>
    <w:rsid w:val="00F36AD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D5AB0B-CFFC-47D5-B624-E039FE620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F79E4"/>
    <w:rPr>
      <w:sz w:val="24"/>
      <w:lang w:eastAsia="sk-SK"/>
    </w:rPr>
  </w:style>
  <w:style w:type="paragraph" w:styleId="Nadpis1">
    <w:name w:val="heading 1"/>
    <w:basedOn w:val="Normlny"/>
    <w:next w:val="Normlny"/>
    <w:link w:val="Nadpis1Char"/>
    <w:uiPriority w:val="9"/>
    <w:qFormat/>
    <w:rsid w:val="00AF79E4"/>
    <w:pPr>
      <w:keepNext/>
      <w:outlineLvl w:val="0"/>
    </w:pPr>
    <w:rPr>
      <w:b/>
      <w:sz w:val="28"/>
    </w:rPr>
  </w:style>
  <w:style w:type="paragraph" w:styleId="Nadpis7">
    <w:name w:val="heading 7"/>
    <w:basedOn w:val="Normlny"/>
    <w:next w:val="Normlny"/>
    <w:link w:val="Nadpis7Char"/>
    <w:qFormat/>
    <w:rsid w:val="00AF79E4"/>
    <w:pPr>
      <w:keepNext/>
      <w:outlineLvl w:val="6"/>
    </w:pPr>
    <w:rPr>
      <w:rFonts w:ascii="Arial Narrow" w:hAnsi="Arial Narrow"/>
      <w:b/>
      <w:i/>
      <w:sz w:val="3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F79E4"/>
    <w:rPr>
      <w:b/>
      <w:sz w:val="28"/>
      <w:lang w:eastAsia="sk-SK"/>
    </w:rPr>
  </w:style>
  <w:style w:type="character" w:customStyle="1" w:styleId="Nadpis7Char">
    <w:name w:val="Nadpis 7 Char"/>
    <w:basedOn w:val="Predvolenpsmoodseku"/>
    <w:link w:val="Nadpis7"/>
    <w:rsid w:val="00AF79E4"/>
    <w:rPr>
      <w:rFonts w:ascii="Arial Narrow" w:hAnsi="Arial Narrow"/>
      <w:b/>
      <w:i/>
      <w:sz w:val="36"/>
      <w:lang w:eastAsia="sk-SK"/>
    </w:rPr>
  </w:style>
  <w:style w:type="paragraph" w:styleId="Nzov">
    <w:name w:val="Title"/>
    <w:basedOn w:val="Normlny"/>
    <w:next w:val="Normlny"/>
    <w:link w:val="NzovChar"/>
    <w:uiPriority w:val="10"/>
    <w:qFormat/>
    <w:rsid w:val="00AF79E4"/>
    <w:pPr>
      <w:spacing w:before="240" w:after="60"/>
      <w:jc w:val="center"/>
      <w:outlineLvl w:val="0"/>
    </w:pPr>
    <w:rPr>
      <w:rFonts w:ascii="Cambria" w:hAnsi="Cambria"/>
      <w:b/>
      <w:bCs/>
      <w:kern w:val="28"/>
      <w:sz w:val="32"/>
      <w:szCs w:val="32"/>
      <w:lang w:eastAsia="en-US"/>
    </w:rPr>
  </w:style>
  <w:style w:type="character" w:customStyle="1" w:styleId="NzovChar">
    <w:name w:val="Názov Char"/>
    <w:link w:val="Nzov"/>
    <w:uiPriority w:val="10"/>
    <w:rsid w:val="00AF79E4"/>
    <w:rPr>
      <w:rFonts w:ascii="Cambria" w:hAnsi="Cambria"/>
      <w:b/>
      <w:bCs/>
      <w:kern w:val="28"/>
      <w:sz w:val="32"/>
      <w:szCs w:val="32"/>
    </w:rPr>
  </w:style>
  <w:style w:type="paragraph" w:customStyle="1" w:styleId="govuk-body">
    <w:name w:val="govuk-body"/>
    <w:basedOn w:val="Normlny"/>
    <w:rsid w:val="00486FBF"/>
    <w:pPr>
      <w:spacing w:before="100" w:beforeAutospacing="1" w:after="100" w:afterAutospacing="1"/>
    </w:pPr>
    <w:rPr>
      <w:szCs w:val="24"/>
    </w:rPr>
  </w:style>
  <w:style w:type="character" w:styleId="Siln">
    <w:name w:val="Strong"/>
    <w:basedOn w:val="Predvolenpsmoodseku"/>
    <w:uiPriority w:val="22"/>
    <w:qFormat/>
    <w:rsid w:val="00486F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316842">
      <w:bodyDiv w:val="1"/>
      <w:marLeft w:val="0"/>
      <w:marRight w:val="0"/>
      <w:marTop w:val="0"/>
      <w:marBottom w:val="0"/>
      <w:divBdr>
        <w:top w:val="none" w:sz="0" w:space="0" w:color="auto"/>
        <w:left w:val="none" w:sz="0" w:space="0" w:color="auto"/>
        <w:bottom w:val="none" w:sz="0" w:space="0" w:color="auto"/>
        <w:right w:val="none" w:sz="0" w:space="0" w:color="auto"/>
      </w:divBdr>
      <w:divsChild>
        <w:div w:id="712118933">
          <w:marLeft w:val="0"/>
          <w:marRight w:val="0"/>
          <w:marTop w:val="0"/>
          <w:marBottom w:val="0"/>
          <w:divBdr>
            <w:top w:val="none" w:sz="0" w:space="0" w:color="auto"/>
            <w:left w:val="none" w:sz="0" w:space="0" w:color="auto"/>
            <w:bottom w:val="none" w:sz="0" w:space="0" w:color="auto"/>
            <w:right w:val="none" w:sz="0" w:space="0" w:color="auto"/>
          </w:divBdr>
        </w:div>
        <w:div w:id="2106921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1971</Characters>
  <Application>Microsoft Office Word</Application>
  <DocSecurity>0</DocSecurity>
  <Lines>16</Lines>
  <Paragraphs>4</Paragraphs>
  <ScaleCrop>false</ScaleCrop>
  <HeadingPairs>
    <vt:vector size="4" baseType="variant">
      <vt:variant>
        <vt:lpstr>Názov</vt:lpstr>
      </vt:variant>
      <vt:variant>
        <vt:i4>1</vt:i4>
      </vt:variant>
      <vt:variant>
        <vt:lpstr>Nadpisy</vt:lpstr>
      </vt:variant>
      <vt:variant>
        <vt:i4>1</vt:i4>
      </vt:variant>
    </vt:vector>
  </HeadingPairs>
  <TitlesOfParts>
    <vt:vector size="2" baseType="lpstr">
      <vt:lpstr/>
      <vt:lpstr>Nová právomoc posudkových lekárov Sociálnej poisťovne pri ukončovaní PN</vt:lpstr>
    </vt:vector>
  </TitlesOfParts>
  <Company/>
  <LinksUpToDate>false</LinksUpToDate>
  <CharactersWithSpaces>2312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Konto Microsoft</cp:lastModifiedBy>
  <cp:revision>1</cp:revision>
  <dcterms:created xsi:type="dcterms:W3CDTF">2025-01-20T04:47:00Z</dcterms:created>
  <dcterms:modified xsi:type="dcterms:W3CDTF">2025-01-20T04:48:00Z</dcterms:modified>
</cp:coreProperties>
</file>